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A2616" w:rsidRPr="003C7004">
        <w:rPr>
          <w:sz w:val="28"/>
          <w:szCs w:val="28"/>
        </w:rPr>
        <w:t>Eiscafé</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8A2616" w:rsidTr="008A2616">
        <w:tc>
          <w:tcPr>
            <w:tcW w:w="2466" w:type="dxa"/>
            <w:vAlign w:val="center"/>
          </w:tcPr>
          <w:p w:rsidR="008A2616" w:rsidRPr="00A069A7" w:rsidRDefault="008A2616" w:rsidP="00C14828">
            <w:pPr>
              <w:pStyle w:val="IQB-Merkmal"/>
            </w:pPr>
            <w:r w:rsidRPr="00A069A7">
              <w:t>Leitidee</w:t>
            </w:r>
          </w:p>
        </w:tc>
        <w:tc>
          <w:tcPr>
            <w:tcW w:w="6604" w:type="dxa"/>
          </w:tcPr>
          <w:p w:rsidR="008A2616" w:rsidRPr="00A069A7" w:rsidRDefault="008A2616" w:rsidP="00C14828">
            <w:pPr>
              <w:pStyle w:val="IQB-Merkmalswert"/>
              <w:rPr>
                <w:sz w:val="22"/>
                <w:szCs w:val="22"/>
              </w:rPr>
            </w:pPr>
            <w:r w:rsidRPr="00A069A7">
              <w:rPr>
                <w:sz w:val="22"/>
                <w:szCs w:val="22"/>
              </w:rPr>
              <w:t>Funktionaler Zusammenhang (L4)</w:t>
            </w:r>
          </w:p>
        </w:tc>
      </w:tr>
      <w:tr w:rsidR="008A2616" w:rsidTr="008A2616">
        <w:tc>
          <w:tcPr>
            <w:tcW w:w="2466" w:type="dxa"/>
            <w:vAlign w:val="center"/>
          </w:tcPr>
          <w:p w:rsidR="008A2616" w:rsidRPr="00A069A7" w:rsidRDefault="008A2616" w:rsidP="00C14828">
            <w:pPr>
              <w:pStyle w:val="IQB-Merkmal"/>
            </w:pPr>
            <w:r w:rsidRPr="00A069A7">
              <w:t>Allgemeine Kompetenzen</w:t>
            </w:r>
          </w:p>
        </w:tc>
        <w:tc>
          <w:tcPr>
            <w:tcW w:w="6604" w:type="dxa"/>
          </w:tcPr>
          <w:p w:rsidR="008A2616" w:rsidRPr="00A069A7" w:rsidRDefault="008A2616" w:rsidP="00C14828">
            <w:pPr>
              <w:pStyle w:val="IQB-Merkmalswert"/>
              <w:rPr>
                <w:sz w:val="22"/>
                <w:szCs w:val="22"/>
              </w:rPr>
            </w:pPr>
            <w:r w:rsidRPr="00A069A7">
              <w:rPr>
                <w:sz w:val="22"/>
                <w:szCs w:val="22"/>
              </w:rPr>
              <w:t>Mit symbolischen, formalen und technischen Elementen der Mathematik umg</w:t>
            </w:r>
            <w:r w:rsidRPr="00A069A7">
              <w:rPr>
                <w:sz w:val="22"/>
                <w:szCs w:val="22"/>
              </w:rPr>
              <w:t>e</w:t>
            </w:r>
            <w:r w:rsidRPr="00A069A7">
              <w:rPr>
                <w:sz w:val="22"/>
                <w:szCs w:val="22"/>
              </w:rPr>
              <w:t>hen (K5)</w:t>
            </w:r>
          </w:p>
        </w:tc>
      </w:tr>
      <w:tr w:rsidR="008A2616" w:rsidTr="008A2616">
        <w:tc>
          <w:tcPr>
            <w:tcW w:w="2466" w:type="dxa"/>
            <w:vAlign w:val="center"/>
          </w:tcPr>
          <w:p w:rsidR="008A2616" w:rsidRPr="00A069A7" w:rsidRDefault="008A2616" w:rsidP="00C14828">
            <w:pPr>
              <w:pStyle w:val="IQB-Merkmal"/>
            </w:pPr>
            <w:r w:rsidRPr="00A069A7">
              <w:t>Anforderungsbereich</w:t>
            </w:r>
          </w:p>
        </w:tc>
        <w:tc>
          <w:tcPr>
            <w:tcW w:w="6604" w:type="dxa"/>
          </w:tcPr>
          <w:p w:rsidR="008A2616" w:rsidRPr="00A069A7" w:rsidRDefault="008A2616" w:rsidP="00C14828">
            <w:pPr>
              <w:pStyle w:val="IQB-Merkmalswert"/>
              <w:rPr>
                <w:sz w:val="22"/>
                <w:szCs w:val="22"/>
              </w:rPr>
            </w:pPr>
            <w:r w:rsidRPr="00A069A7">
              <w:rPr>
                <w:sz w:val="22"/>
                <w:szCs w:val="22"/>
              </w:rPr>
              <w:t>I</w:t>
            </w:r>
          </w:p>
        </w:tc>
      </w:tr>
      <w:tr w:rsidR="008A2616" w:rsidTr="008A2616">
        <w:tc>
          <w:tcPr>
            <w:tcW w:w="2466" w:type="dxa"/>
            <w:vAlign w:val="center"/>
          </w:tcPr>
          <w:p w:rsidR="008A2616" w:rsidRPr="00A069A7" w:rsidRDefault="008A2616" w:rsidP="00C14828">
            <w:pPr>
              <w:pStyle w:val="IQB-Merkmal"/>
            </w:pPr>
            <w:r w:rsidRPr="00A069A7">
              <w:t>Kompetenzstufe</w:t>
            </w:r>
          </w:p>
        </w:tc>
        <w:tc>
          <w:tcPr>
            <w:tcW w:w="6604" w:type="dxa"/>
          </w:tcPr>
          <w:p w:rsidR="008A2616" w:rsidRPr="00A069A7" w:rsidRDefault="008A2616" w:rsidP="00C14828">
            <w:pPr>
              <w:pStyle w:val="IQB-Merkmalswert"/>
              <w:rPr>
                <w:sz w:val="22"/>
                <w:szCs w:val="22"/>
              </w:rPr>
            </w:pPr>
            <w:r w:rsidRPr="00A069A7">
              <w:rPr>
                <w:sz w:val="22"/>
                <w:szCs w:val="22"/>
              </w:rPr>
              <w:t>1a</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8A2616" w:rsidTr="008A2616">
        <w:tc>
          <w:tcPr>
            <w:tcW w:w="2466" w:type="dxa"/>
            <w:vAlign w:val="center"/>
          </w:tcPr>
          <w:p w:rsidR="008A2616" w:rsidRPr="00A069A7" w:rsidRDefault="008A2616" w:rsidP="00C14828">
            <w:pPr>
              <w:pStyle w:val="IQB-Merkmal"/>
            </w:pPr>
            <w:r w:rsidRPr="00A069A7">
              <w:t>Leitidee</w:t>
            </w:r>
          </w:p>
        </w:tc>
        <w:tc>
          <w:tcPr>
            <w:tcW w:w="6604" w:type="dxa"/>
          </w:tcPr>
          <w:p w:rsidR="008A2616" w:rsidRPr="00A069A7" w:rsidRDefault="008A2616" w:rsidP="00C14828">
            <w:pPr>
              <w:pStyle w:val="IQB-Merkmalswert"/>
              <w:rPr>
                <w:sz w:val="22"/>
                <w:szCs w:val="22"/>
              </w:rPr>
            </w:pPr>
            <w:r w:rsidRPr="00A069A7">
              <w:rPr>
                <w:sz w:val="22"/>
                <w:szCs w:val="22"/>
              </w:rPr>
              <w:t>Funktionaler Zusammenhang (L4)</w:t>
            </w:r>
          </w:p>
        </w:tc>
      </w:tr>
      <w:tr w:rsidR="008A2616" w:rsidTr="008A2616">
        <w:tc>
          <w:tcPr>
            <w:tcW w:w="2466" w:type="dxa"/>
            <w:vAlign w:val="center"/>
          </w:tcPr>
          <w:p w:rsidR="008A2616" w:rsidRPr="00A069A7" w:rsidRDefault="008A2616" w:rsidP="00C14828">
            <w:pPr>
              <w:pStyle w:val="IQB-Merkmal"/>
            </w:pPr>
            <w:r w:rsidRPr="00A069A7">
              <w:t>Allgemeine Kompetenzen</w:t>
            </w:r>
          </w:p>
        </w:tc>
        <w:tc>
          <w:tcPr>
            <w:tcW w:w="6604" w:type="dxa"/>
          </w:tcPr>
          <w:p w:rsidR="008A2616" w:rsidRDefault="008A2616" w:rsidP="00C14828">
            <w:pPr>
              <w:pStyle w:val="IQB-Merkmalswert"/>
              <w:rPr>
                <w:sz w:val="22"/>
                <w:szCs w:val="22"/>
              </w:rPr>
            </w:pPr>
            <w:r w:rsidRPr="00A069A7">
              <w:rPr>
                <w:sz w:val="22"/>
                <w:szCs w:val="22"/>
              </w:rPr>
              <w:t>Mit symbolischen, formalen und technischen Elementen der Mathematik umg</w:t>
            </w:r>
            <w:r w:rsidRPr="00A069A7">
              <w:rPr>
                <w:sz w:val="22"/>
                <w:szCs w:val="22"/>
              </w:rPr>
              <w:t>e</w:t>
            </w:r>
            <w:r>
              <w:rPr>
                <w:sz w:val="22"/>
                <w:szCs w:val="22"/>
              </w:rPr>
              <w:t>hen (K5)</w:t>
            </w:r>
          </w:p>
          <w:p w:rsidR="008A2616" w:rsidRPr="00A069A7" w:rsidRDefault="008A2616" w:rsidP="00C14828">
            <w:pPr>
              <w:pStyle w:val="IQB-Merkmalswert"/>
              <w:rPr>
                <w:sz w:val="22"/>
                <w:szCs w:val="22"/>
              </w:rPr>
            </w:pPr>
            <w:r w:rsidRPr="00A069A7">
              <w:rPr>
                <w:sz w:val="22"/>
                <w:szCs w:val="22"/>
              </w:rPr>
              <w:t>Mathematisch kommunizieren (K6).</w:t>
            </w:r>
          </w:p>
        </w:tc>
      </w:tr>
      <w:tr w:rsidR="008A2616" w:rsidTr="008A2616">
        <w:tc>
          <w:tcPr>
            <w:tcW w:w="2466" w:type="dxa"/>
            <w:vAlign w:val="center"/>
          </w:tcPr>
          <w:p w:rsidR="008A2616" w:rsidRPr="00A069A7" w:rsidRDefault="008A2616" w:rsidP="00C14828">
            <w:pPr>
              <w:pStyle w:val="IQB-Merkmal"/>
            </w:pPr>
            <w:r w:rsidRPr="00A069A7">
              <w:t>Anforderungsbereich</w:t>
            </w:r>
          </w:p>
        </w:tc>
        <w:tc>
          <w:tcPr>
            <w:tcW w:w="6604" w:type="dxa"/>
          </w:tcPr>
          <w:p w:rsidR="008A2616" w:rsidRPr="00A069A7" w:rsidRDefault="008A2616" w:rsidP="00C14828">
            <w:pPr>
              <w:pStyle w:val="IQB-Merkmalswert"/>
              <w:rPr>
                <w:sz w:val="22"/>
                <w:szCs w:val="22"/>
              </w:rPr>
            </w:pPr>
            <w:r w:rsidRPr="00A069A7">
              <w:rPr>
                <w:sz w:val="22"/>
                <w:szCs w:val="22"/>
              </w:rPr>
              <w:t>II</w:t>
            </w:r>
          </w:p>
        </w:tc>
      </w:tr>
      <w:tr w:rsidR="008A2616" w:rsidTr="008A2616">
        <w:tc>
          <w:tcPr>
            <w:tcW w:w="2466" w:type="dxa"/>
            <w:vAlign w:val="center"/>
          </w:tcPr>
          <w:p w:rsidR="008A2616" w:rsidRPr="00A069A7" w:rsidRDefault="008A2616" w:rsidP="00C14828">
            <w:pPr>
              <w:pStyle w:val="IQB-Merkmal"/>
            </w:pPr>
            <w:r w:rsidRPr="00A069A7">
              <w:t>Kompetenzstufe</w:t>
            </w:r>
          </w:p>
        </w:tc>
        <w:tc>
          <w:tcPr>
            <w:tcW w:w="6604" w:type="dxa"/>
          </w:tcPr>
          <w:p w:rsidR="008A2616" w:rsidRPr="00A069A7" w:rsidRDefault="008A2616" w:rsidP="00C14828">
            <w:pPr>
              <w:pStyle w:val="IQB-Merkmalswert"/>
              <w:rPr>
                <w:sz w:val="22"/>
                <w:szCs w:val="22"/>
              </w:rPr>
            </w:pPr>
            <w:r w:rsidRPr="00A069A7">
              <w:rPr>
                <w:sz w:val="22"/>
                <w:szCs w:val="22"/>
              </w:rPr>
              <w:t>1a</w:t>
            </w:r>
          </w:p>
        </w:tc>
      </w:tr>
    </w:tbl>
    <w:p w:rsidR="00694A63" w:rsidRPr="00694A63" w:rsidRDefault="00694A63" w:rsidP="00694A63">
      <w:pPr>
        <w:pStyle w:val="IQB-Teilaufgabentitel"/>
        <w:rPr>
          <w:b/>
        </w:rPr>
      </w:pPr>
      <w:r w:rsidRPr="00694A63">
        <w:rPr>
          <w:b/>
        </w:rPr>
        <w:t>Aufgabenbezogener Kommentar</w:t>
      </w:r>
    </w:p>
    <w:p w:rsidR="008A2616" w:rsidRPr="008A2616" w:rsidRDefault="008A2616" w:rsidP="008A2616">
      <w:pPr>
        <w:jc w:val="both"/>
        <w:rPr>
          <w:rFonts w:ascii="Arial" w:hAnsi="Arial"/>
          <w:sz w:val="22"/>
          <w:szCs w:val="22"/>
        </w:rPr>
      </w:pPr>
      <w:r w:rsidRPr="008A2616">
        <w:rPr>
          <w:rFonts w:ascii="Arial" w:hAnsi="Arial"/>
          <w:sz w:val="22"/>
          <w:szCs w:val="22"/>
        </w:rPr>
        <w:t xml:space="preserve">In der Aufgabe „Eiscafé“ wird ein funktionaler Zusammenhang zwischen der Anzahl an Eiskugeln (mit und ohne Sahne) und dem zu zahlenden Preis hergestellt. Daher wird diese Aufgabe der Leitidee </w:t>
      </w:r>
      <w:r w:rsidRPr="008A2616">
        <w:rPr>
          <w:rFonts w:ascii="Arial" w:hAnsi="Arial"/>
          <w:i/>
          <w:sz w:val="22"/>
          <w:szCs w:val="22"/>
        </w:rPr>
        <w:t>funktionaler Zusammenhang</w:t>
      </w:r>
      <w:r w:rsidRPr="008A2616">
        <w:rPr>
          <w:rFonts w:ascii="Arial" w:hAnsi="Arial"/>
          <w:sz w:val="22"/>
          <w:szCs w:val="22"/>
        </w:rPr>
        <w:t> (L4) zugeordnet.</w:t>
      </w:r>
    </w:p>
    <w:p w:rsidR="008A2616" w:rsidRPr="008A2616" w:rsidRDefault="008A2616" w:rsidP="008A2616">
      <w:pPr>
        <w:jc w:val="both"/>
        <w:rPr>
          <w:rFonts w:ascii="Arial" w:hAnsi="Arial"/>
          <w:sz w:val="22"/>
          <w:szCs w:val="22"/>
        </w:rPr>
      </w:pPr>
    </w:p>
    <w:p w:rsidR="008A2616" w:rsidRPr="008A2616" w:rsidRDefault="008A2616" w:rsidP="008A2616">
      <w:pPr>
        <w:jc w:val="both"/>
        <w:rPr>
          <w:rFonts w:ascii="Arial" w:hAnsi="Arial"/>
          <w:sz w:val="22"/>
          <w:szCs w:val="22"/>
        </w:rPr>
      </w:pPr>
      <w:r w:rsidRPr="008A2616">
        <w:rPr>
          <w:rFonts w:ascii="Arial" w:hAnsi="Arial"/>
          <w:sz w:val="22"/>
          <w:szCs w:val="22"/>
        </w:rPr>
        <w:t xml:space="preserve">In beiden Teilaufgaben werden arithmetische Fähigkeiten zur Berechnung der Preise benötigt. Insofern verlangen beide Teilaufgaben die Kompetenz </w:t>
      </w:r>
      <w:r w:rsidRPr="008A2616">
        <w:rPr>
          <w:rFonts w:ascii="Arial" w:hAnsi="Arial"/>
          <w:i/>
          <w:sz w:val="22"/>
          <w:szCs w:val="22"/>
        </w:rPr>
        <w:t>Mit symbolischen, formalen und technischen Elementen der Mathematik umgehen</w:t>
      </w:r>
      <w:r w:rsidRPr="008A2616">
        <w:rPr>
          <w:rFonts w:ascii="Arial" w:hAnsi="Arial"/>
          <w:sz w:val="22"/>
          <w:szCs w:val="22"/>
        </w:rPr>
        <w:t xml:space="preserve"> (K5). In Teilaufgabe 2 wird ein Lösungsweg dokumentiert. Daher wird hier zusätzlich die Kompetenz </w:t>
      </w:r>
      <w:r w:rsidRPr="008A2616">
        <w:rPr>
          <w:rFonts w:ascii="Arial" w:hAnsi="Arial"/>
          <w:i/>
          <w:sz w:val="22"/>
          <w:szCs w:val="22"/>
        </w:rPr>
        <w:t>Mathematisch kommunizieren</w:t>
      </w:r>
      <w:r w:rsidRPr="008A2616">
        <w:rPr>
          <w:rFonts w:ascii="Arial" w:hAnsi="Arial"/>
          <w:sz w:val="22"/>
          <w:szCs w:val="22"/>
        </w:rPr>
        <w:t> (K6) gefordert.</w:t>
      </w:r>
    </w:p>
    <w:p w:rsidR="008A2616" w:rsidRPr="008A2616" w:rsidRDefault="008A2616" w:rsidP="008A2616">
      <w:pPr>
        <w:jc w:val="both"/>
        <w:rPr>
          <w:rFonts w:ascii="Arial" w:hAnsi="Arial"/>
          <w:sz w:val="22"/>
          <w:szCs w:val="22"/>
        </w:rPr>
      </w:pPr>
    </w:p>
    <w:p w:rsidR="008A2616" w:rsidRPr="008A2616" w:rsidRDefault="008A2616" w:rsidP="008A2616">
      <w:pPr>
        <w:jc w:val="both"/>
        <w:rPr>
          <w:rFonts w:ascii="Arial" w:hAnsi="Arial"/>
          <w:sz w:val="22"/>
          <w:szCs w:val="22"/>
        </w:rPr>
      </w:pPr>
      <w:r w:rsidRPr="008A2616">
        <w:rPr>
          <w:rFonts w:ascii="Arial" w:hAnsi="Arial"/>
          <w:sz w:val="22"/>
          <w:szCs w:val="22"/>
        </w:rPr>
        <w:t>In Teilaufgabe 1 wird der zu zahlende Preis routinemäßig berechnet. Daher gehört diese Teilaufgabe zum Anforderungsbereich I. In Teilaufgabe 2 soll ein Lösungsweg verständlich dargestellt werden. Daher befindet sich diese Teilaufgabe im Anforderungsbereich II.</w:t>
      </w:r>
    </w:p>
    <w:p w:rsidR="00694A63" w:rsidRPr="00694A63" w:rsidRDefault="00694A63" w:rsidP="00694A63">
      <w:pPr>
        <w:pStyle w:val="IQB-Teilaufgabentitel"/>
        <w:rPr>
          <w:b/>
        </w:rPr>
      </w:pPr>
      <w:r w:rsidRPr="00694A63">
        <w:rPr>
          <w:b/>
        </w:rPr>
        <w:t>Anregungen für den Unterricht</w:t>
      </w:r>
    </w:p>
    <w:p w:rsidR="008A2616" w:rsidRPr="008A2616" w:rsidRDefault="008A2616" w:rsidP="008A2616">
      <w:pPr>
        <w:jc w:val="both"/>
        <w:rPr>
          <w:rFonts w:ascii="Arial" w:hAnsi="Arial"/>
          <w:sz w:val="22"/>
          <w:szCs w:val="22"/>
        </w:rPr>
      </w:pPr>
      <w:r w:rsidRPr="008A2616">
        <w:rPr>
          <w:rFonts w:ascii="Arial" w:hAnsi="Arial"/>
          <w:sz w:val="22"/>
          <w:szCs w:val="22"/>
        </w:rPr>
        <w:t xml:space="preserve">In Teilaufgabe 2 von „Eiscafé“ sind Schülerinnen und Schüler aufgefordert ihren Lösungsweg zu dokumentieren. Die Dokumentation des Lösungswegs zielt hier auf die Überprüfung der Kompetenz </w:t>
      </w:r>
      <w:r w:rsidRPr="008A2616">
        <w:rPr>
          <w:rFonts w:ascii="Arial" w:hAnsi="Arial"/>
          <w:i/>
          <w:sz w:val="22"/>
          <w:szCs w:val="22"/>
        </w:rPr>
        <w:t>Mathematisch kommunizieren</w:t>
      </w:r>
      <w:r w:rsidRPr="008A2616">
        <w:rPr>
          <w:rFonts w:ascii="Arial" w:hAnsi="Arial"/>
          <w:sz w:val="22"/>
          <w:szCs w:val="22"/>
        </w:rPr>
        <w:t xml:space="preserve"> (K6) ab. Das offene Aufgabenformat erlaubt eine genaue Analyse von Schülerlösungen, sodass im Einzelnen festgestellt werden kann, welche Fähigkeiten Schülerinnen und Schüler bezogen auf die Kompetenz </w:t>
      </w:r>
      <w:r w:rsidRPr="008A2616">
        <w:rPr>
          <w:rFonts w:ascii="Arial" w:hAnsi="Arial"/>
          <w:i/>
          <w:sz w:val="22"/>
          <w:szCs w:val="22"/>
        </w:rPr>
        <w:t>Mathematisch kommunizieren</w:t>
      </w:r>
      <w:r w:rsidRPr="008A2616">
        <w:rPr>
          <w:rFonts w:ascii="Arial" w:hAnsi="Arial"/>
          <w:sz w:val="22"/>
          <w:szCs w:val="22"/>
        </w:rPr>
        <w:t xml:space="preserve"> (K6) bereits mitbringen und welche noch entwickelt werden müssen. Im Folgenden werden einige Schülerlösungen hierzu. Allen ist gemein, dass die richtige Ankreuzmöglichkeit gewählt worden ist. </w:t>
      </w:r>
    </w:p>
    <w:p w:rsidR="008A2616" w:rsidRPr="008A2616" w:rsidRDefault="008A2616" w:rsidP="008A2616">
      <w:pPr>
        <w:rPr>
          <w:rFonts w:ascii="Arial" w:hAnsi="Arial"/>
          <w:sz w:val="18"/>
        </w:rPr>
      </w:pPr>
    </w:p>
    <w:p w:rsidR="008A2616" w:rsidRPr="008A2616" w:rsidRDefault="008A2616" w:rsidP="008A2616">
      <w:pPr>
        <w:keepNext/>
        <w:rPr>
          <w:rFonts w:ascii="Arial" w:hAnsi="Arial"/>
          <w:sz w:val="18"/>
        </w:rPr>
      </w:pPr>
      <w:r w:rsidRPr="008A2616">
        <w:rPr>
          <w:rFonts w:ascii="Arial" w:hAnsi="Arial"/>
          <w:noProof/>
          <w:sz w:val="18"/>
        </w:rPr>
        <w:drawing>
          <wp:inline distT="0" distB="0" distL="0" distR="0">
            <wp:extent cx="5720080" cy="1318260"/>
            <wp:effectExtent l="19050" t="19050" r="13970" b="152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0080" cy="1318260"/>
                    </a:xfrm>
                    <a:prstGeom prst="rect">
                      <a:avLst/>
                    </a:prstGeom>
                    <a:noFill/>
                    <a:ln w="9525" cmpd="sng">
                      <a:solidFill>
                        <a:srgbClr val="000000"/>
                      </a:solidFill>
                      <a:miter lim="800000"/>
                      <a:headEnd/>
                      <a:tailEnd/>
                    </a:ln>
                    <a:effectLst/>
                  </pic:spPr>
                </pic:pic>
              </a:graphicData>
            </a:graphic>
          </wp:inline>
        </w:drawing>
      </w:r>
    </w:p>
    <w:p w:rsidR="008A2616" w:rsidRPr="008A2616" w:rsidRDefault="008A2616" w:rsidP="008A2616">
      <w:pPr>
        <w:rPr>
          <w:rFonts w:ascii="Arial" w:hAnsi="Arial"/>
          <w:bCs/>
          <w:i/>
          <w:sz w:val="20"/>
          <w:szCs w:val="20"/>
        </w:rPr>
      </w:pPr>
      <w:r w:rsidRPr="008A2616">
        <w:rPr>
          <w:rFonts w:ascii="Arial" w:hAnsi="Arial"/>
          <w:bCs/>
          <w:i/>
          <w:sz w:val="20"/>
          <w:szCs w:val="20"/>
        </w:rPr>
        <w:t xml:space="preserve">Abbildung </w:t>
      </w:r>
      <w:r w:rsidRPr="008A2616">
        <w:rPr>
          <w:rFonts w:ascii="Arial" w:hAnsi="Arial"/>
          <w:bCs/>
          <w:i/>
          <w:sz w:val="20"/>
          <w:szCs w:val="20"/>
        </w:rPr>
        <w:fldChar w:fldCharType="begin"/>
      </w:r>
      <w:r w:rsidRPr="008A2616">
        <w:rPr>
          <w:rFonts w:ascii="Arial" w:hAnsi="Arial"/>
          <w:bCs/>
          <w:i/>
          <w:sz w:val="20"/>
          <w:szCs w:val="20"/>
        </w:rPr>
        <w:instrText xml:space="preserve"> SEQ Abbildung \* ARABIC </w:instrText>
      </w:r>
      <w:r w:rsidRPr="008A2616">
        <w:rPr>
          <w:rFonts w:ascii="Arial" w:hAnsi="Arial"/>
          <w:bCs/>
          <w:i/>
          <w:sz w:val="20"/>
          <w:szCs w:val="20"/>
        </w:rPr>
        <w:fldChar w:fldCharType="separate"/>
      </w:r>
      <w:r w:rsidRPr="008A2616">
        <w:rPr>
          <w:rFonts w:ascii="Arial" w:hAnsi="Arial"/>
          <w:bCs/>
          <w:i/>
          <w:noProof/>
          <w:sz w:val="20"/>
          <w:szCs w:val="20"/>
        </w:rPr>
        <w:t>1</w:t>
      </w:r>
      <w:r w:rsidRPr="008A2616">
        <w:rPr>
          <w:rFonts w:ascii="Arial" w:hAnsi="Arial"/>
          <w:bCs/>
          <w:i/>
          <w:noProof/>
          <w:sz w:val="20"/>
          <w:szCs w:val="20"/>
        </w:rPr>
        <w:fldChar w:fldCharType="end"/>
      </w:r>
      <w:r w:rsidRPr="008A2616">
        <w:rPr>
          <w:rFonts w:ascii="Arial" w:hAnsi="Arial"/>
          <w:bCs/>
          <w:i/>
          <w:sz w:val="20"/>
          <w:szCs w:val="20"/>
        </w:rPr>
        <w:t>: Schülerlösung 1</w:t>
      </w:r>
    </w:p>
    <w:p w:rsidR="008A2616" w:rsidRPr="008A2616" w:rsidRDefault="008A2616" w:rsidP="008A2616">
      <w:pPr>
        <w:rPr>
          <w:rFonts w:ascii="Arial" w:hAnsi="Arial"/>
          <w:sz w:val="18"/>
        </w:rPr>
      </w:pPr>
    </w:p>
    <w:p w:rsidR="008A2616" w:rsidRPr="008A2616" w:rsidRDefault="008A2616" w:rsidP="008A2616">
      <w:pPr>
        <w:jc w:val="both"/>
        <w:rPr>
          <w:rFonts w:ascii="Arial" w:hAnsi="Arial"/>
          <w:sz w:val="22"/>
          <w:szCs w:val="22"/>
        </w:rPr>
      </w:pPr>
      <w:r w:rsidRPr="008A2616">
        <w:rPr>
          <w:rFonts w:ascii="Arial" w:hAnsi="Arial"/>
          <w:sz w:val="22"/>
          <w:szCs w:val="22"/>
        </w:rPr>
        <w:t xml:space="preserve">In Schülerlösung 1 wird der Einzelpreis für eine Kugel in beiden Eiscafés miteinander verglichen. Dabei wird das Gleichheitszeichen auf unzulässige Weise verwendet. Es wird verwendet, um beide Zeilen mit einem Namen zu versehen, bzw. um auf die Kinder, Mia und Max, in den beiden Eiscafés </w:t>
      </w:r>
      <w:r w:rsidRPr="008A2616">
        <w:rPr>
          <w:rFonts w:ascii="Arial" w:hAnsi="Arial"/>
          <w:sz w:val="22"/>
          <w:szCs w:val="22"/>
        </w:rPr>
        <w:lastRenderedPageBreak/>
        <w:t xml:space="preserve">zu verweisen. Alsdann wird die Anzahl der gekauften Kugeln genannt, jedoch </w:t>
      </w:r>
      <w:proofErr w:type="gramStart"/>
      <w:r w:rsidRPr="008A2616">
        <w:rPr>
          <w:rFonts w:ascii="Arial" w:hAnsi="Arial"/>
          <w:sz w:val="22"/>
          <w:szCs w:val="22"/>
        </w:rPr>
        <w:t>darauf folgend</w:t>
      </w:r>
      <w:proofErr w:type="gramEnd"/>
      <w:r w:rsidRPr="008A2616">
        <w:rPr>
          <w:rFonts w:ascii="Arial" w:hAnsi="Arial"/>
          <w:sz w:val="22"/>
          <w:szCs w:val="22"/>
        </w:rPr>
        <w:t xml:space="preserve"> die Berechnung des Preises für eine einzelne Kugel mit einem Gleichheitszeichen eingeleitet. Im Unterricht könnte diese Schülerlösung dazu verwendet werden, um auf dieses Problem hinzuweisen. Schülerinnen und Schüler könnten gefragt werden, was an dieser Dokumentation des Lösungswegs noch zu verbessern ist.</w:t>
      </w:r>
    </w:p>
    <w:p w:rsidR="008A2616" w:rsidRPr="008A2616" w:rsidRDefault="008A2616" w:rsidP="008A2616">
      <w:pPr>
        <w:jc w:val="both"/>
        <w:rPr>
          <w:rFonts w:ascii="Arial" w:hAnsi="Arial"/>
          <w:sz w:val="22"/>
          <w:szCs w:val="22"/>
        </w:rPr>
      </w:pPr>
    </w:p>
    <w:p w:rsidR="008A2616" w:rsidRPr="008A2616" w:rsidRDefault="008A2616" w:rsidP="008A2616">
      <w:pPr>
        <w:keepNext/>
        <w:rPr>
          <w:rFonts w:ascii="Arial" w:hAnsi="Arial"/>
          <w:sz w:val="18"/>
        </w:rPr>
      </w:pPr>
      <w:r w:rsidRPr="008A2616">
        <w:rPr>
          <w:rFonts w:ascii="Arial" w:hAnsi="Arial"/>
          <w:noProof/>
          <w:sz w:val="18"/>
        </w:rPr>
        <w:drawing>
          <wp:inline distT="0" distB="0" distL="0" distR="0">
            <wp:extent cx="5730875" cy="1360805"/>
            <wp:effectExtent l="19050" t="19050" r="22225" b="1079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0875" cy="1360805"/>
                    </a:xfrm>
                    <a:prstGeom prst="rect">
                      <a:avLst/>
                    </a:prstGeom>
                    <a:noFill/>
                    <a:ln w="9525" cmpd="sng">
                      <a:solidFill>
                        <a:srgbClr val="000000"/>
                      </a:solidFill>
                      <a:miter lim="800000"/>
                      <a:headEnd/>
                      <a:tailEnd/>
                    </a:ln>
                    <a:effectLst/>
                  </pic:spPr>
                </pic:pic>
              </a:graphicData>
            </a:graphic>
          </wp:inline>
        </w:drawing>
      </w:r>
    </w:p>
    <w:p w:rsidR="008A2616" w:rsidRPr="008A2616" w:rsidRDefault="008A2616" w:rsidP="008A2616">
      <w:pPr>
        <w:rPr>
          <w:rFonts w:ascii="Arial" w:hAnsi="Arial"/>
          <w:bCs/>
          <w:i/>
          <w:sz w:val="20"/>
          <w:szCs w:val="20"/>
        </w:rPr>
      </w:pPr>
      <w:r w:rsidRPr="008A2616">
        <w:rPr>
          <w:rFonts w:ascii="Arial" w:hAnsi="Arial"/>
          <w:bCs/>
          <w:i/>
          <w:sz w:val="20"/>
          <w:szCs w:val="20"/>
        </w:rPr>
        <w:t xml:space="preserve">Abbildung </w:t>
      </w:r>
      <w:r w:rsidRPr="008A2616">
        <w:rPr>
          <w:rFonts w:ascii="Arial" w:hAnsi="Arial"/>
          <w:bCs/>
          <w:i/>
          <w:sz w:val="20"/>
          <w:szCs w:val="20"/>
        </w:rPr>
        <w:fldChar w:fldCharType="begin"/>
      </w:r>
      <w:r w:rsidRPr="008A2616">
        <w:rPr>
          <w:rFonts w:ascii="Arial" w:hAnsi="Arial"/>
          <w:bCs/>
          <w:i/>
          <w:sz w:val="20"/>
          <w:szCs w:val="20"/>
        </w:rPr>
        <w:instrText xml:space="preserve"> SEQ Abbildung \* ARABIC </w:instrText>
      </w:r>
      <w:r w:rsidRPr="008A2616">
        <w:rPr>
          <w:rFonts w:ascii="Arial" w:hAnsi="Arial"/>
          <w:bCs/>
          <w:i/>
          <w:sz w:val="20"/>
          <w:szCs w:val="20"/>
        </w:rPr>
        <w:fldChar w:fldCharType="separate"/>
      </w:r>
      <w:r w:rsidRPr="008A2616">
        <w:rPr>
          <w:rFonts w:ascii="Arial" w:hAnsi="Arial"/>
          <w:bCs/>
          <w:i/>
          <w:noProof/>
          <w:sz w:val="20"/>
          <w:szCs w:val="20"/>
        </w:rPr>
        <w:t>2</w:t>
      </w:r>
      <w:r w:rsidRPr="008A2616">
        <w:rPr>
          <w:rFonts w:ascii="Arial" w:hAnsi="Arial"/>
          <w:bCs/>
          <w:i/>
          <w:noProof/>
          <w:sz w:val="20"/>
          <w:szCs w:val="20"/>
        </w:rPr>
        <w:fldChar w:fldCharType="end"/>
      </w:r>
      <w:r w:rsidRPr="008A2616">
        <w:rPr>
          <w:rFonts w:ascii="Arial" w:hAnsi="Arial"/>
          <w:bCs/>
          <w:i/>
          <w:sz w:val="20"/>
          <w:szCs w:val="20"/>
        </w:rPr>
        <w:t>: Schülerlösung 2</w:t>
      </w:r>
    </w:p>
    <w:p w:rsidR="008A2616" w:rsidRPr="008A2616" w:rsidRDefault="008A2616" w:rsidP="008A2616">
      <w:pPr>
        <w:rPr>
          <w:rFonts w:ascii="Arial" w:hAnsi="Arial"/>
          <w:sz w:val="18"/>
        </w:rPr>
      </w:pPr>
    </w:p>
    <w:p w:rsidR="008A2616" w:rsidRPr="008A2616" w:rsidRDefault="008A2616" w:rsidP="008A2616">
      <w:pPr>
        <w:jc w:val="both"/>
        <w:rPr>
          <w:rFonts w:ascii="Arial" w:hAnsi="Arial"/>
          <w:sz w:val="22"/>
          <w:szCs w:val="22"/>
        </w:rPr>
      </w:pPr>
      <w:r w:rsidRPr="008A2616">
        <w:rPr>
          <w:rFonts w:ascii="Arial" w:hAnsi="Arial"/>
          <w:sz w:val="22"/>
          <w:szCs w:val="22"/>
        </w:rPr>
        <w:t>Eventuell verweisen die gefragten Schülerinnen und Schüler auch auf die fehlende Geldeinheit Euro. Schülerlösung 2 soll hierfür als Beispiel dienen. Zwar werden in beiden Termen Geldeinheiten verwendet, jedoch fehlt die Geldeinheit im Ergebnis. Zwar zulässig jedoch ungünstig erscheint die Idee im selben Term zwei unterschiedliche Geldeinheiten, Euro und Cent, zu verwenden. Hinzu kommt, dass auch hier das Gleichheitszeichen auf unzulässige Weise verwendet worden ist. Der lange Abstand zwischen „4,00</w:t>
      </w:r>
      <w:r w:rsidRPr="008A2616">
        <w:rPr>
          <w:rFonts w:ascii="Arial" w:hAnsi="Arial"/>
          <w:w w:val="50"/>
          <w:sz w:val="22"/>
          <w:szCs w:val="22"/>
        </w:rPr>
        <w:t> </w:t>
      </w:r>
      <w:r w:rsidRPr="008A2616">
        <w:rPr>
          <w:rFonts w:ascii="Arial" w:hAnsi="Arial"/>
          <w:sz w:val="22"/>
          <w:szCs w:val="22"/>
        </w:rPr>
        <w:t>€“ und „+ 50 Cent Sahne“ lässt vermuten, dass zunächst „4,00</w:t>
      </w:r>
      <w:r w:rsidRPr="008A2616">
        <w:rPr>
          <w:rFonts w:ascii="Arial" w:hAnsi="Arial"/>
          <w:w w:val="50"/>
          <w:sz w:val="22"/>
          <w:szCs w:val="22"/>
        </w:rPr>
        <w:t> </w:t>
      </w:r>
      <w:r w:rsidRPr="008A2616">
        <w:rPr>
          <w:rFonts w:ascii="Arial" w:hAnsi="Arial"/>
          <w:sz w:val="22"/>
          <w:szCs w:val="22"/>
        </w:rPr>
        <w:t>€“ als Ergebnis der vorigen Rechnung notiert worden ist und dann „+ 50 Cent Sahne“ angefügt wurde.</w:t>
      </w:r>
    </w:p>
    <w:p w:rsidR="008A2616" w:rsidRPr="008A2616" w:rsidRDefault="008A2616" w:rsidP="008A2616">
      <w:pPr>
        <w:rPr>
          <w:rFonts w:ascii="Arial" w:hAnsi="Arial"/>
          <w:sz w:val="18"/>
        </w:rPr>
      </w:pPr>
    </w:p>
    <w:p w:rsidR="008A2616" w:rsidRPr="008A2616" w:rsidRDefault="008A2616" w:rsidP="008A2616">
      <w:pPr>
        <w:keepNext/>
        <w:rPr>
          <w:rFonts w:ascii="Arial" w:hAnsi="Arial"/>
          <w:sz w:val="18"/>
        </w:rPr>
      </w:pPr>
      <w:r w:rsidRPr="008A2616">
        <w:rPr>
          <w:rFonts w:ascii="Arial" w:hAnsi="Arial"/>
          <w:noProof/>
          <w:sz w:val="18"/>
        </w:rPr>
        <w:drawing>
          <wp:inline distT="0" distB="0" distL="0" distR="0">
            <wp:extent cx="5730875" cy="1329055"/>
            <wp:effectExtent l="19050" t="19050" r="22225" b="2349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875" cy="1329055"/>
                    </a:xfrm>
                    <a:prstGeom prst="rect">
                      <a:avLst/>
                    </a:prstGeom>
                    <a:noFill/>
                    <a:ln w="9525" cmpd="sng">
                      <a:solidFill>
                        <a:srgbClr val="000000"/>
                      </a:solidFill>
                      <a:miter lim="800000"/>
                      <a:headEnd/>
                      <a:tailEnd/>
                    </a:ln>
                    <a:effectLst/>
                  </pic:spPr>
                </pic:pic>
              </a:graphicData>
            </a:graphic>
          </wp:inline>
        </w:drawing>
      </w:r>
    </w:p>
    <w:p w:rsidR="008A2616" w:rsidRPr="008A2616" w:rsidRDefault="008A2616" w:rsidP="008A2616">
      <w:pPr>
        <w:rPr>
          <w:rFonts w:ascii="Arial" w:hAnsi="Arial"/>
          <w:bCs/>
          <w:i/>
          <w:sz w:val="20"/>
          <w:szCs w:val="20"/>
        </w:rPr>
      </w:pPr>
      <w:r w:rsidRPr="008A2616">
        <w:rPr>
          <w:rFonts w:ascii="Arial" w:hAnsi="Arial"/>
          <w:bCs/>
          <w:i/>
          <w:sz w:val="20"/>
          <w:szCs w:val="20"/>
        </w:rPr>
        <w:t xml:space="preserve">Abbildung </w:t>
      </w:r>
      <w:r w:rsidRPr="008A2616">
        <w:rPr>
          <w:rFonts w:ascii="Arial" w:hAnsi="Arial"/>
          <w:bCs/>
          <w:i/>
          <w:sz w:val="20"/>
          <w:szCs w:val="20"/>
        </w:rPr>
        <w:fldChar w:fldCharType="begin"/>
      </w:r>
      <w:r w:rsidRPr="008A2616">
        <w:rPr>
          <w:rFonts w:ascii="Arial" w:hAnsi="Arial"/>
          <w:bCs/>
          <w:i/>
          <w:sz w:val="20"/>
          <w:szCs w:val="20"/>
        </w:rPr>
        <w:instrText xml:space="preserve"> SEQ Abbildung \* ARABIC </w:instrText>
      </w:r>
      <w:r w:rsidRPr="008A2616">
        <w:rPr>
          <w:rFonts w:ascii="Arial" w:hAnsi="Arial"/>
          <w:bCs/>
          <w:i/>
          <w:sz w:val="20"/>
          <w:szCs w:val="20"/>
        </w:rPr>
        <w:fldChar w:fldCharType="separate"/>
      </w:r>
      <w:r w:rsidRPr="008A2616">
        <w:rPr>
          <w:rFonts w:ascii="Arial" w:hAnsi="Arial"/>
          <w:bCs/>
          <w:i/>
          <w:noProof/>
          <w:sz w:val="20"/>
          <w:szCs w:val="20"/>
        </w:rPr>
        <w:t>3</w:t>
      </w:r>
      <w:r w:rsidRPr="008A2616">
        <w:rPr>
          <w:rFonts w:ascii="Arial" w:hAnsi="Arial"/>
          <w:bCs/>
          <w:i/>
          <w:noProof/>
          <w:sz w:val="20"/>
          <w:szCs w:val="20"/>
        </w:rPr>
        <w:fldChar w:fldCharType="end"/>
      </w:r>
      <w:r w:rsidRPr="008A2616">
        <w:rPr>
          <w:rFonts w:ascii="Arial" w:hAnsi="Arial"/>
          <w:bCs/>
          <w:i/>
          <w:sz w:val="20"/>
          <w:szCs w:val="20"/>
        </w:rPr>
        <w:t>: Schülerlösung 3</w:t>
      </w:r>
    </w:p>
    <w:p w:rsidR="008A2616" w:rsidRPr="008A2616" w:rsidRDefault="008A2616" w:rsidP="008A2616">
      <w:pPr>
        <w:jc w:val="both"/>
        <w:rPr>
          <w:rFonts w:ascii="Arial" w:hAnsi="Arial"/>
          <w:sz w:val="22"/>
          <w:szCs w:val="22"/>
        </w:rPr>
      </w:pPr>
    </w:p>
    <w:p w:rsidR="008A2616" w:rsidRPr="008A2616" w:rsidRDefault="008A2616" w:rsidP="008A2616">
      <w:pPr>
        <w:jc w:val="both"/>
        <w:rPr>
          <w:rFonts w:ascii="Arial" w:hAnsi="Arial"/>
          <w:sz w:val="22"/>
          <w:szCs w:val="22"/>
        </w:rPr>
      </w:pPr>
      <w:r w:rsidRPr="008A2616">
        <w:rPr>
          <w:rFonts w:ascii="Arial" w:hAnsi="Arial"/>
          <w:sz w:val="22"/>
          <w:szCs w:val="22"/>
        </w:rPr>
        <w:t>In Schülerlösung 3 wird zwar auch das Gleichheitszeichen auf unzulässige Weise verwendet, viel entscheidender scheint jedoch, dass im Grunde kein Lösungsweg notiert worden ist. Notiert wurde lediglich der Vergleich der Ergebnisse eines Lösungswegs, hier der Einzelpreis für eine Kugel Eis in beiden Eiscafés. Hier lohnt es sich zu prüfen, ob der Schüler oder die Schülerin bei anderen Aufgaben vollständige Lösungswege darstellt.</w:t>
      </w:r>
    </w:p>
    <w:p w:rsidR="008A2616" w:rsidRPr="008A2616" w:rsidRDefault="008A2616" w:rsidP="008A2616">
      <w:pPr>
        <w:jc w:val="both"/>
        <w:rPr>
          <w:rFonts w:ascii="Arial" w:hAnsi="Arial"/>
          <w:sz w:val="22"/>
          <w:szCs w:val="22"/>
        </w:rPr>
      </w:pPr>
    </w:p>
    <w:p w:rsidR="008A2616" w:rsidRPr="008A2616" w:rsidRDefault="008A2616" w:rsidP="008A2616">
      <w:pPr>
        <w:keepNext/>
        <w:rPr>
          <w:rFonts w:ascii="Arial" w:hAnsi="Arial"/>
          <w:sz w:val="18"/>
        </w:rPr>
      </w:pPr>
      <w:r w:rsidRPr="008A2616">
        <w:rPr>
          <w:rFonts w:ascii="Arial" w:hAnsi="Arial"/>
          <w:noProof/>
          <w:sz w:val="18"/>
        </w:rPr>
        <w:drawing>
          <wp:inline distT="0" distB="0" distL="0" distR="0">
            <wp:extent cx="6124575" cy="1445895"/>
            <wp:effectExtent l="19050" t="19050" r="28575" b="2095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4575" cy="1445895"/>
                    </a:xfrm>
                    <a:prstGeom prst="rect">
                      <a:avLst/>
                    </a:prstGeom>
                    <a:noFill/>
                    <a:ln w="9525" cmpd="sng">
                      <a:solidFill>
                        <a:srgbClr val="000000"/>
                      </a:solidFill>
                      <a:miter lim="800000"/>
                      <a:headEnd/>
                      <a:tailEnd/>
                    </a:ln>
                    <a:effectLst/>
                  </pic:spPr>
                </pic:pic>
              </a:graphicData>
            </a:graphic>
          </wp:inline>
        </w:drawing>
      </w:r>
    </w:p>
    <w:p w:rsidR="008A2616" w:rsidRPr="008A2616" w:rsidRDefault="008A2616" w:rsidP="008A2616">
      <w:pPr>
        <w:rPr>
          <w:rFonts w:ascii="Arial" w:hAnsi="Arial"/>
          <w:bCs/>
          <w:i/>
          <w:sz w:val="20"/>
          <w:szCs w:val="20"/>
        </w:rPr>
      </w:pPr>
      <w:r w:rsidRPr="008A2616">
        <w:rPr>
          <w:rFonts w:ascii="Arial" w:hAnsi="Arial"/>
          <w:bCs/>
          <w:i/>
          <w:sz w:val="20"/>
          <w:szCs w:val="20"/>
        </w:rPr>
        <w:t xml:space="preserve">Abbildung </w:t>
      </w:r>
      <w:r w:rsidRPr="008A2616">
        <w:rPr>
          <w:rFonts w:ascii="Arial" w:hAnsi="Arial"/>
          <w:bCs/>
          <w:i/>
          <w:sz w:val="20"/>
          <w:szCs w:val="20"/>
        </w:rPr>
        <w:fldChar w:fldCharType="begin"/>
      </w:r>
      <w:r w:rsidRPr="008A2616">
        <w:rPr>
          <w:rFonts w:ascii="Arial" w:hAnsi="Arial"/>
          <w:bCs/>
          <w:i/>
          <w:sz w:val="20"/>
          <w:szCs w:val="20"/>
        </w:rPr>
        <w:instrText xml:space="preserve"> SEQ Abbildung \* ARABIC </w:instrText>
      </w:r>
      <w:r w:rsidRPr="008A2616">
        <w:rPr>
          <w:rFonts w:ascii="Arial" w:hAnsi="Arial"/>
          <w:bCs/>
          <w:i/>
          <w:sz w:val="20"/>
          <w:szCs w:val="20"/>
        </w:rPr>
        <w:fldChar w:fldCharType="separate"/>
      </w:r>
      <w:r w:rsidRPr="008A2616">
        <w:rPr>
          <w:rFonts w:ascii="Arial" w:hAnsi="Arial"/>
          <w:bCs/>
          <w:i/>
          <w:noProof/>
          <w:sz w:val="20"/>
          <w:szCs w:val="20"/>
        </w:rPr>
        <w:t>4</w:t>
      </w:r>
      <w:r w:rsidRPr="008A2616">
        <w:rPr>
          <w:rFonts w:ascii="Arial" w:hAnsi="Arial"/>
          <w:bCs/>
          <w:i/>
          <w:noProof/>
          <w:sz w:val="20"/>
          <w:szCs w:val="20"/>
        </w:rPr>
        <w:fldChar w:fldCharType="end"/>
      </w:r>
      <w:r w:rsidRPr="008A2616">
        <w:rPr>
          <w:rFonts w:ascii="Arial" w:hAnsi="Arial"/>
          <w:bCs/>
          <w:i/>
          <w:sz w:val="20"/>
          <w:szCs w:val="20"/>
        </w:rPr>
        <w:t>: Schülerlösung 4</w:t>
      </w:r>
    </w:p>
    <w:p w:rsidR="008A2616" w:rsidRPr="008A2616" w:rsidRDefault="008A2616" w:rsidP="008A2616">
      <w:pPr>
        <w:rPr>
          <w:rFonts w:ascii="Arial" w:hAnsi="Arial"/>
          <w:sz w:val="18"/>
        </w:rPr>
      </w:pPr>
    </w:p>
    <w:p w:rsidR="008A2616" w:rsidRPr="008A2616" w:rsidRDefault="008A2616" w:rsidP="008A2616">
      <w:pPr>
        <w:jc w:val="both"/>
        <w:rPr>
          <w:rFonts w:ascii="Arial" w:hAnsi="Arial"/>
          <w:sz w:val="22"/>
          <w:szCs w:val="22"/>
        </w:rPr>
      </w:pPr>
      <w:r w:rsidRPr="008A2616">
        <w:rPr>
          <w:rFonts w:ascii="Arial" w:hAnsi="Arial"/>
          <w:sz w:val="22"/>
          <w:szCs w:val="22"/>
        </w:rPr>
        <w:t xml:space="preserve">Schülerlösung 4 ist, sofern man nur den Inhalt betrachtet, eine mustergültige Lösung der Aufgabe. Mathematische Symbole und Geldeinheiten werden korrekt verwendet und es ist außerdem ein Antwortsatz formuliert worden, aus dem ersichtlich wird, auf welche Weise hier der Vergleich zwischen beiden Eiscafés hergestellt worden ist. Problematisch könnte jedoch die äußere Form des Lösungswegs sein. Eine Rechnung wird durchgestrichen und die Ausführungen finden sich teils </w:t>
      </w:r>
      <w:r w:rsidRPr="008A2616">
        <w:rPr>
          <w:rFonts w:ascii="Arial" w:hAnsi="Arial"/>
          <w:sz w:val="22"/>
          <w:szCs w:val="22"/>
        </w:rPr>
        <w:lastRenderedPageBreak/>
        <w:t xml:space="preserve">außerhalb des Antwortfelds. Auch das Schriftbild ist derart verzerrt, dass das Lesen erschwert wird. Auf solche Mängel kann im Unterricht ebenfalls hingewiesen werden. Auch dies gehört zur Förderung der Kompetenz </w:t>
      </w:r>
      <w:r w:rsidRPr="008A2616">
        <w:rPr>
          <w:rFonts w:ascii="Arial" w:hAnsi="Arial"/>
          <w:i/>
          <w:sz w:val="22"/>
          <w:szCs w:val="22"/>
        </w:rPr>
        <w:t>Mathematisch kommunizieren</w:t>
      </w:r>
      <w:r w:rsidRPr="008A2616">
        <w:rPr>
          <w:rFonts w:ascii="Arial" w:hAnsi="Arial"/>
          <w:sz w:val="22"/>
          <w:szCs w:val="22"/>
        </w:rPr>
        <w:t> (K6).</w:t>
      </w:r>
    </w:p>
    <w:p w:rsidR="00694A63" w:rsidRPr="005B2F65" w:rsidRDefault="00694A63" w:rsidP="008A2616">
      <w:pPr>
        <w:jc w:val="both"/>
        <w:rPr>
          <w:sz w:val="22"/>
          <w:szCs w:val="22"/>
        </w:rPr>
      </w:pPr>
      <w:bookmarkStart w:id="0" w:name="_GoBack"/>
      <w:bookmarkEnd w:id="0"/>
    </w:p>
    <w:sectPr w:rsidR="00694A63" w:rsidRPr="005B2F65"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633E718-0593-45CA-A765-5858262E81FE}"/>
    <w:embedBold r:id="rId2" w:fontKey="{F10C55A9-4273-4F7E-A45A-98DEA0FFAB2F}"/>
    <w:embedItalic r:id="rId3" w:fontKey="{27B05902-3D28-4491-AA49-AE3B38D7DD46}"/>
    <w:embedBoldItalic r:id="rId4" w:fontKey="{3D511B87-9D3A-4F38-B3E8-9E8CFE92249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A2616"/>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B52B86-DE43-4846-99BD-E492BE1D5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621</Words>
  <Characters>4171</Characters>
  <Application>Microsoft Office Word</Application>
  <DocSecurity>0</DocSecurity>
  <Lines>92</Lines>
  <Paragraphs>43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2025-07-23T13:42:00Z</dcterms:created>
  <dcterms:modified xsi:type="dcterms:W3CDTF">2025-07-23T13:42:00Z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